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C24BBE" w14:textId="77777777" w:rsidR="00382007" w:rsidRPr="009F23E4" w:rsidRDefault="00382007" w:rsidP="00382007">
      <w:pPr>
        <w:spacing w:after="0" w:line="240" w:lineRule="auto"/>
        <w:outlineLvl w:val="0"/>
        <w:rPr>
          <w:rFonts w:ascii="Aptos" w:eastAsia="Times New Roman" w:hAnsi="Aptos" w:cs="Times New Roman"/>
          <w:b/>
          <w:bCs/>
          <w:color w:val="212121"/>
          <w:kern w:val="36"/>
          <w:sz w:val="48"/>
          <w:szCs w:val="48"/>
          <w14:ligatures w14:val="none"/>
        </w:rPr>
      </w:pPr>
      <w:r w:rsidRPr="009F23E4">
        <w:rPr>
          <w:rFonts w:ascii="Aptos" w:eastAsia="Times New Roman" w:hAnsi="Aptos" w:cs="Times New Roman"/>
          <w:color w:val="2E74B5"/>
          <w:kern w:val="36"/>
          <w14:ligatures w14:val="none"/>
        </w:rPr>
        <w:t>Attachment B: National Office FAQ — Suggested Congregational Q&amp;A</w:t>
      </w:r>
    </w:p>
    <w:p w14:paraId="0DE0AC3E"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i/>
          <w:iCs/>
          <w:color w:val="000000"/>
          <w:kern w:val="0"/>
          <w14:ligatures w14:val="none"/>
        </w:rPr>
        <w:t xml:space="preserve">From the C&amp;MA National Office (sent by Sue Close with her October 21, </w:t>
      </w:r>
      <w:proofErr w:type="gramStart"/>
      <w:r w:rsidRPr="009F23E4">
        <w:rPr>
          <w:rFonts w:ascii="Aptos" w:eastAsia="Times New Roman" w:hAnsi="Aptos" w:cs="Times New Roman"/>
          <w:i/>
          <w:iCs/>
          <w:color w:val="000000"/>
          <w:kern w:val="0"/>
          <w14:ligatures w14:val="none"/>
        </w:rPr>
        <w:t>2026</w:t>
      </w:r>
      <w:proofErr w:type="gramEnd"/>
      <w:r w:rsidRPr="009F23E4">
        <w:rPr>
          <w:rFonts w:ascii="Aptos" w:eastAsia="Times New Roman" w:hAnsi="Aptos" w:cs="Times New Roman"/>
          <w:i/>
          <w:iCs/>
          <w:color w:val="000000"/>
          <w:kern w:val="0"/>
          <w14:ligatures w14:val="none"/>
        </w:rPr>
        <w:t xml:space="preserve"> letter).</w:t>
      </w:r>
    </w:p>
    <w:p w14:paraId="174F7C8C" w14:textId="77777777" w:rsidR="00382007" w:rsidRDefault="00382007" w:rsidP="00382007">
      <w:pPr>
        <w:spacing w:after="0" w:line="240" w:lineRule="auto"/>
        <w:outlineLvl w:val="0"/>
        <w:rPr>
          <w:rFonts w:ascii="Aptos" w:eastAsia="Times New Roman" w:hAnsi="Aptos" w:cs="Times New Roman"/>
          <w:color w:val="2E74B5"/>
          <w:kern w:val="36"/>
          <w14:ligatures w14:val="none"/>
        </w:rPr>
      </w:pPr>
    </w:p>
    <w:p w14:paraId="7F3C6F6E" w14:textId="42AD8EE3" w:rsidR="00382007" w:rsidRPr="009F23E4" w:rsidRDefault="00382007" w:rsidP="00382007">
      <w:pPr>
        <w:spacing w:after="0" w:line="240" w:lineRule="auto"/>
        <w:outlineLvl w:val="0"/>
        <w:rPr>
          <w:rFonts w:ascii="Aptos" w:eastAsia="Times New Roman" w:hAnsi="Aptos" w:cs="Times New Roman"/>
          <w:b/>
          <w:bCs/>
          <w:color w:val="212121"/>
          <w:kern w:val="36"/>
          <w:sz w:val="48"/>
          <w:szCs w:val="48"/>
          <w14:ligatures w14:val="none"/>
        </w:rPr>
      </w:pPr>
      <w:r w:rsidRPr="009F23E4">
        <w:rPr>
          <w:rFonts w:ascii="Aptos" w:eastAsia="Times New Roman" w:hAnsi="Aptos" w:cs="Times New Roman"/>
          <w:color w:val="2E74B5"/>
          <w:kern w:val="36"/>
          <w14:ligatures w14:val="none"/>
        </w:rPr>
        <w:t>Suggested Congregational Q&amp;A</w:t>
      </w:r>
    </w:p>
    <w:p w14:paraId="4C8BD5E8"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i/>
          <w:iCs/>
          <w:color w:val="000000"/>
          <w:kern w:val="0"/>
          <w14:ligatures w14:val="none"/>
        </w:rPr>
        <w:t>Proposed Amendment and Restatement of the Church's Articles of Incorporation — The Christian and Missionary Alliance, National Office</w:t>
      </w:r>
    </w:p>
    <w:p w14:paraId="2B9A045E"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Church preparation: For the meeting, we suggest you have copies of the current Articles and proposed Restated Articles available so members can see the changes rather than relying entirely on an oral explanation. Also see preparation under #14 below. Feel free to adapt the below Q&amp;A to meet your specific church needs.</w:t>
      </w:r>
    </w:p>
    <w:p w14:paraId="4EA650E1"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We recognize that reviewing and voting on changes to your church's Articles of Incorporation requires time and careful consideration. We also understand that legal terminology can make this process feel more complicated than it needs to be. Our goal with this Q&amp;A is to explain, as clearly as possible, why these changes are being requested, what they mean for your church, and what the congregation is being asked to approve. We want your members to have the information they need to consider the proposed Restated Articles thoughtfully and with confidence.</w:t>
      </w:r>
    </w:p>
    <w:p w14:paraId="5D79B38F"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 Why are we being asked to amend our Articles of Incorporation?</w:t>
      </w:r>
    </w:p>
    <w:p w14:paraId="20EA5D67"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proposed amendment is intended to address requirements associated with the church's participation in The Christian and Missionary Alliance's group exemption and to make the church's organizational documents more clearly reflect its relationship with the C&amp;MA. The impetus for this is the newly revised requirements from the IRS that force the C&amp;MA to bring all churches into alignment by early 2027.</w:t>
      </w:r>
    </w:p>
    <w:p w14:paraId="5A0DF3D6"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2. What is the C&amp;MA group exemption?</w:t>
      </w:r>
    </w:p>
    <w:p w14:paraId="64503427"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A group exemption provides a framework through which qualifying subordinate organizations may be recognized as federally tax-exempt under the umbrella of a central organization. The proposed Articles are part of the documentation being addressed in connection with the church's inclusion in the C&amp;MA group exemption.</w:t>
      </w:r>
    </w:p>
    <w:p w14:paraId="73EDAD15"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IRS permits certain organizations with affiliated churches or other subordinate organizations to maintain what is called a "group exemption." Rather than each qualifying church having to apply separately to the IRS for recognition of federal tax-exempt status, a church may be included under the C&amp;MA's group exemption.</w:t>
      </w:r>
    </w:p>
    <w:p w14:paraId="0015F492"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C&amp;MA serves as the central organization, and participating churches are recognized as subordinate organizations within the group. Each church continues to use its own EIN and operate as its own organization, while its federal tax-exempt recognition is established through its inclusion in the C&amp;MA group exemption.</w:t>
      </w:r>
    </w:p>
    <w:p w14:paraId="655434C4"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To qualify for inclusion, the IRS requires a subordinate organization to be affiliated with the central organization and subject to its general supervision or control. This is one reason it is important for the church's corporate documents, including its Articles of Incorporation, to appropriately document its relationship with the C&amp;MA.</w:t>
      </w:r>
    </w:p>
    <w:p w14:paraId="6A793817" w14:textId="77777777" w:rsidR="00382007" w:rsidRPr="009F23E4" w:rsidRDefault="00382007" w:rsidP="00382007">
      <w:pPr>
        <w:spacing w:after="0" w:line="240" w:lineRule="auto"/>
        <w:outlineLvl w:val="2"/>
        <w:rPr>
          <w:rFonts w:ascii="Aptos" w:eastAsia="Times New Roman" w:hAnsi="Aptos" w:cs="Times New Roman"/>
          <w:b/>
          <w:bCs/>
          <w:color w:val="212121"/>
          <w:kern w:val="0"/>
          <w:sz w:val="27"/>
          <w:szCs w:val="27"/>
          <w14:ligatures w14:val="none"/>
        </w:rPr>
      </w:pPr>
      <w:r w:rsidRPr="009F23E4">
        <w:rPr>
          <w:rFonts w:ascii="Aptos" w:eastAsia="Times New Roman" w:hAnsi="Aptos" w:cs="Times New Roman"/>
          <w:color w:val="1F4D78"/>
          <w:kern w:val="0"/>
          <w14:ligatures w14:val="none"/>
        </w:rPr>
        <w:t>What does that mean for the local church?</w:t>
      </w:r>
    </w:p>
    <w:p w14:paraId="4769BF9E"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Think of it this way:</w:t>
      </w:r>
    </w:p>
    <w:p w14:paraId="3EE8F481" w14:textId="77777777" w:rsidR="00382007" w:rsidRPr="009F23E4" w:rsidRDefault="00382007" w:rsidP="00382007">
      <w:pPr>
        <w:numPr>
          <w:ilvl w:val="0"/>
          <w:numId w:val="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Individual exemption: Church → applies separately to IRS → receives its own IRS recognition.</w:t>
      </w:r>
    </w:p>
    <w:p w14:paraId="09F8C61E" w14:textId="77777777" w:rsidR="00382007" w:rsidRPr="009F23E4" w:rsidRDefault="00382007" w:rsidP="00382007">
      <w:pPr>
        <w:numPr>
          <w:ilvl w:val="0"/>
          <w:numId w:val="1"/>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lastRenderedPageBreak/>
        <w:t>C&amp;MA group exemption: C&amp;MA → holds the group exemption → qualifying C&amp;MA church is included as a subordinate organization.</w:t>
      </w:r>
    </w:p>
    <w:p w14:paraId="27D52ACA"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church remains its own organization. C&amp;MA documentation specifically instructs churches to use their own EIN, while their federal tax-exempt recognition is documented through their inclusion in the C&amp;MA group exemption.</w:t>
      </w:r>
    </w:p>
    <w:p w14:paraId="37D76292"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This can save a church from having to submit its own application for recognition of exemption. The C&amp;MA option is provided to churches and districts at no cost and replaces the need for the church to go directly to the IRS to obtain recognition.</w:t>
      </w:r>
    </w:p>
    <w:p w14:paraId="5CED570D"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3. What is an EIN?</w:t>
      </w:r>
    </w:p>
    <w:p w14:paraId="183169AA"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An EIN, or Employer Identification Number, is the church's unique federal identification number with the IRS. Think of it as the church's federal tax ID. Every church has its own EIN, even if it does not have employees. Being included in the C&amp;MA's group exemption does not mean the church uses the C&amp;MA's EIN; the local church continues to use its own EIN.</w:t>
      </w:r>
    </w:p>
    <w:p w14:paraId="3AAF4D5D"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One important distinction for members: an EIN is not the same thing as recognition of federal tax-exempt status. The IRS specifically states that an EIN identifies the organization and is not itself a tax-exempt number.</w:t>
      </w:r>
    </w:p>
    <w:p w14:paraId="7237C1DF"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So, in very simple terms:</w:t>
      </w:r>
    </w:p>
    <w:p w14:paraId="60158717" w14:textId="77777777" w:rsidR="00382007" w:rsidRPr="009F23E4" w:rsidRDefault="00382007" w:rsidP="00382007">
      <w:pPr>
        <w:numPr>
          <w:ilvl w:val="0"/>
          <w:numId w:val="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EIN = identifies the church</w:t>
      </w:r>
    </w:p>
    <w:p w14:paraId="34EC5998" w14:textId="77777777" w:rsidR="00382007" w:rsidRPr="009F23E4" w:rsidRDefault="00382007" w:rsidP="00382007">
      <w:pPr>
        <w:numPr>
          <w:ilvl w:val="0"/>
          <w:numId w:val="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501(c)(3) status = describes its federal tax-exempt status</w:t>
      </w:r>
    </w:p>
    <w:p w14:paraId="6A35E6B2" w14:textId="77777777" w:rsidR="00382007" w:rsidRPr="009F23E4" w:rsidRDefault="00382007" w:rsidP="00382007">
      <w:pPr>
        <w:numPr>
          <w:ilvl w:val="0"/>
          <w:numId w:val="2"/>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Group exemption = one way a qualifying church can receive recognition of that federal tax-exempt status through a central organization.</w:t>
      </w:r>
    </w:p>
    <w:p w14:paraId="30E029A2"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4. What are the Articles of Incorporation?</w:t>
      </w:r>
    </w:p>
    <w:p w14:paraId="22AA0611"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Articles of Incorporation are the public legal document establishing the church as a nonprofit corporation under state law. They are distinct from the church's constitution and bylaws. The Articles must meet state requirements as well as C&amp;MA and IRS requirements. Most states provide access to filed documents on the Secretary of State's website.</w:t>
      </w:r>
    </w:p>
    <w:p w14:paraId="6FB78853"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5. Why does the congregation need to vote?</w:t>
      </w:r>
    </w:p>
    <w:p w14:paraId="6EF5C34C"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Member Rights: The church defines in its Articles of Incorporation (and other governing documents) that it has voting members (e.g., church congregation). The restatement includes substantive amendments from the original Articles of Incorporation filed. The board can manage simple amendments but for a restatement must submit it to the members. This keeps the church aligned with the approval process required by applicable state law.</w:t>
      </w:r>
    </w:p>
    <w:p w14:paraId="65523112"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NOTE: Many churches originally submitted the state form for their Articles of Incorporation. That form is short and only includes state requirements but does not include C&amp;MA requirements that meet subordinate details from the C&amp;MA Manual. That is why incorporating the amendments is now considered substantive by the state.</w:t>
      </w:r>
    </w:p>
    <w:p w14:paraId="1D316020"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6. Why is this happening now?</w:t>
      </w:r>
    </w:p>
    <w:p w14:paraId="0A416446"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primary objective is to ensure that the relationship that already exists between a developing or accredited Alliance church, its District, and the C&amp;MA is appropriately reflected in the church's corporate documents so that the C&amp;MA can satisfy the IRS requirements associated with maintaining its group exemption.</w:t>
      </w:r>
    </w:p>
    <w:p w14:paraId="09B09133"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lastRenderedPageBreak/>
        <w:t>In 2026, the IRS introduced new regulations that mandate that the C&amp;MA subordinates meet requirements by early 2027 or they must be removed from the group exemption.</w:t>
      </w:r>
    </w:p>
    <w:p w14:paraId="55BEF4BE"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7. Is the church giving up its independence?</w:t>
      </w:r>
    </w:p>
    <w:p w14:paraId="19C0051A"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purpose of the amendments is not to transfer the day-to-day operation of the church to the National Office or district. The church will continue to conduct its ministry and local operations through its established governance structure, subject to the provisions of its governing documents and its relationship with the C&amp;MA.</w:t>
      </w:r>
    </w:p>
    <w:p w14:paraId="76907562"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purpose of the amendment is to incorporate C&amp;MA Manual provisions into the Articles of Incorporation. This includes stating that the church is a member church of the C&amp;MA, shall operate under the ecclesiastical authority of, and be subject to the usages, doctrines and teachings of the C&amp;MA as set forth in the C&amp;MA Manual, and that assets will remain in the C&amp;MA if the church ever dissolves.</w:t>
      </w:r>
    </w:p>
    <w:p w14:paraId="1EF4209F"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8. Does this mean the C&amp;MA will control our church?</w:t>
      </w:r>
    </w:p>
    <w:p w14:paraId="16943C85"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Not at all. There is an important distinction to be made between the IRS/group-exemption terminology of "control/general supervision" and ordinary understandings of the word "control."</w:t>
      </w:r>
    </w:p>
    <w:p w14:paraId="4FE27C1A"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language should not be understood to mean that the National Office will begin managing the church's everyday ministry decisions. The relevant issue is how the church's legal relationship with the C&amp;MA is documented for group-exemption purposes.</w:t>
      </w:r>
    </w:p>
    <w:p w14:paraId="3EBFDDB8"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9. Aren't we already part of the C&amp;MA?</w:t>
      </w:r>
    </w:p>
    <w:p w14:paraId="61A9A160"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Yes. The question is not simply whether the church considers itself part of the C&amp;MA. The purpose of this process is to ensure that the church's corporate documents appropriately reflect the organizational relationship relevant to its inclusion in the C&amp;MA's group exemption.</w:t>
      </w:r>
    </w:p>
    <w:p w14:paraId="43A0CF4B"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All developing and especially accredited churches in the C&amp;MA must commit to governance provisions in the C&amp;MA Manual.</w:t>
      </w:r>
    </w:p>
    <w:p w14:paraId="0B3D4DE9"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10. Does this change our theology, mission, or Statement of Faith?</w:t>
      </w:r>
    </w:p>
    <w:p w14:paraId="49E29911"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No. The proposed Restated Articles do not change the church's Statement of Faith, mission, or theological commitments.</w:t>
      </w:r>
    </w:p>
    <w:p w14:paraId="15170E93"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11. What exactly is changing in the Articles?</w:t>
      </w:r>
    </w:p>
    <w:p w14:paraId="3096D85F"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All C&amp;MA churches have already agreed to operate in accordance with the C&amp;MA Manual. The key Manual provisions are being incorporated into the Articles, including the subordinate relationship, property reversion provisions, and commitment to conformity with the Manual.</w:t>
      </w:r>
    </w:p>
    <w:p w14:paraId="25F78C7B"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proposed Restated Articles makes several of those relationships explicit in the corporate document:</w:t>
      </w:r>
    </w:p>
    <w:p w14:paraId="24D5079A" w14:textId="77777777" w:rsidR="00382007" w:rsidRPr="009F23E4" w:rsidRDefault="00382007" w:rsidP="00382007">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Article II states that the church is a member church operating under C&amp;MA ecclesiastical authority and subject to the Manual.</w:t>
      </w:r>
    </w:p>
    <w:p w14:paraId="1B916C46" w14:textId="77777777" w:rsidR="00382007" w:rsidRPr="009F23E4" w:rsidRDefault="00382007" w:rsidP="00382007">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It expressly incorporates the property trust and reversion provisions.</w:t>
      </w:r>
    </w:p>
    <w:p w14:paraId="34F37E4A" w14:textId="77777777" w:rsidR="00382007" w:rsidRPr="009F23E4" w:rsidRDefault="00382007" w:rsidP="00382007">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Article III identifies the District as the ecclesiastical member and places the determination of Developing versus Accredited status with the District, subject to the Manual.</w:t>
      </w:r>
    </w:p>
    <w:p w14:paraId="7C40B3F2" w14:textId="77777777" w:rsidR="00382007" w:rsidRPr="009F23E4" w:rsidRDefault="00382007" w:rsidP="00382007">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A Developing Church's board is elected and removed by the ecclesiastical member, while an Accredited Church's directors are elected and removed under its bylaws.</w:t>
      </w:r>
    </w:p>
    <w:p w14:paraId="59444DAA" w14:textId="77777777" w:rsidR="00382007" w:rsidRPr="009F23E4" w:rsidRDefault="00382007" w:rsidP="00382007">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lastRenderedPageBreak/>
        <w:t>The bylaws must incorporate applicable Manual provisions, and the District determines inconsistencies between the bylaws and Manual.</w:t>
      </w:r>
    </w:p>
    <w:p w14:paraId="2C644B40" w14:textId="77777777" w:rsidR="00382007" w:rsidRPr="009F23E4" w:rsidRDefault="00382007" w:rsidP="00382007">
      <w:pPr>
        <w:numPr>
          <w:ilvl w:val="0"/>
          <w:numId w:val="3"/>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Amendments to the Articles require written District approval.</w:t>
      </w:r>
    </w:p>
    <w:p w14:paraId="1EA79D96"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There are also provisions that are corporate/tax provisions rather than simply repetitions of denominational governance, such as prohibitions on private inurement, limitations associated with political activity, 501(c)(3) restrictions, director-liability language, state governing law, voting-member provisions, and perpetual duration.</w:t>
      </w:r>
    </w:p>
    <w:p w14:paraId="1F5533F9"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Restated Articles are not intended to impose a new ecclesiastical relationship on the church. They are intended to place into the church's corporate governing document the C&amp;MA relationship and governance commitments that apply to it as an Alliance church, while also including the corporate and federal tax provisions appropriate to its state nonprofit and 501(c)(3) status.</w:t>
      </w:r>
    </w:p>
    <w:p w14:paraId="22B79EF1"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12. What happens if the congregation approves the Restated Articles?</w:t>
      </w:r>
    </w:p>
    <w:p w14:paraId="795941F6"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If the required vote is obtained, the church will proceed with the remaining steps required to put the Restated Articles into effect, including the required filing with the appropriate Secretary of State office. This will maintain the church's status as a participant in the group exemption.</w:t>
      </w:r>
    </w:p>
    <w:p w14:paraId="70448655"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13. What happens if we don't approve them?</w:t>
      </w:r>
    </w:p>
    <w:p w14:paraId="0FE25069"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If the Restated Articles are not approved, the church will effectively be removed from the C&amp;MA's group by January 22, 2027 (the IRS deadline).</w:t>
      </w:r>
    </w:p>
    <w:p w14:paraId="7833846A"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Leaving the group exemption and leaving the C&amp;MA are not the same.</w:t>
      </w:r>
    </w:p>
    <w:p w14:paraId="6B6BC028"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C&amp;MA's existing process recognizes that an accredited church may establish its federal tax-exempt status directly with the IRS. If the church does not participate in the C&amp;MA group exemption, the church may apply for its own IRS determination letter from the IRS.</w:t>
      </w:r>
    </w:p>
    <w:p w14:paraId="1FB79CB8"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What would not disappear merely by obtaining independent IRS recognition are the ecclesiastical obligations the church already has by virtue of being a C&amp;MA member church. That distinction is especially important here.</w:t>
      </w:r>
    </w:p>
    <w:p w14:paraId="6203FEC1"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14. Are we voting on individual provisions?</w:t>
      </w:r>
    </w:p>
    <w:p w14:paraId="4E512FFE"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Usually, the resolution will ask the membership to approve the Restated Articles as a document rather than conducting a separate vote on every paragraph. But the church's governing documents and applicable state law need to determine the actual procedure.</w:t>
      </w:r>
    </w:p>
    <w:p w14:paraId="1BAB031C"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The church will make the motion itself available before the meeting:</w:t>
      </w:r>
    </w:p>
    <w:p w14:paraId="0AA308DD"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Proposed Motion (to be provided and customized by specific church):</w:t>
      </w:r>
    </w:p>
    <w:p w14:paraId="2B97C8E6"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"I move that the members approve the Amended and Restated Articles of Incorporation in the form presented to the congregation."</w:t>
      </w:r>
    </w:p>
    <w:p w14:paraId="7902E562"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Counsel can adjust the resolution if authorization to file or make non-substantive corrections also needs to be included.</w:t>
      </w:r>
    </w:p>
    <w:p w14:paraId="7F26EBE4" w14:textId="77777777" w:rsidR="00382007" w:rsidRPr="009F23E4" w:rsidRDefault="00382007" w:rsidP="00382007">
      <w:pPr>
        <w:spacing w:after="0" w:line="240" w:lineRule="auto"/>
        <w:outlineLvl w:val="1"/>
        <w:rPr>
          <w:rFonts w:ascii="Aptos" w:eastAsia="Times New Roman" w:hAnsi="Aptos" w:cs="Times New Roman"/>
          <w:b/>
          <w:bCs/>
          <w:color w:val="212121"/>
          <w:kern w:val="0"/>
          <w:sz w:val="36"/>
          <w:szCs w:val="36"/>
          <w14:ligatures w14:val="none"/>
        </w:rPr>
      </w:pPr>
      <w:r w:rsidRPr="009F23E4">
        <w:rPr>
          <w:rFonts w:ascii="Aptos" w:eastAsia="Times New Roman" w:hAnsi="Aptos" w:cs="Times New Roman"/>
          <w:color w:val="2E74B5"/>
          <w:kern w:val="0"/>
          <w14:ligatures w14:val="none"/>
        </w:rPr>
        <w:t>Prepare four pieces for the church</w:t>
      </w:r>
    </w:p>
    <w:p w14:paraId="13347D72" w14:textId="77777777" w:rsidR="00382007" w:rsidRPr="009F23E4" w:rsidRDefault="00382007" w:rsidP="00382007">
      <w:pPr>
        <w:numPr>
          <w:ilvl w:val="0"/>
          <w:numId w:val="4"/>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One-page cover letter: Warm, pastoral explanation of why the congregation is receiving the material.</w:t>
      </w:r>
    </w:p>
    <w:p w14:paraId="5FBD3C61" w14:textId="77777777" w:rsidR="00382007" w:rsidRPr="009F23E4" w:rsidRDefault="00382007" w:rsidP="00382007">
      <w:pPr>
        <w:numPr>
          <w:ilvl w:val="0"/>
          <w:numId w:val="4"/>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Q&amp;A: See questions above.</w:t>
      </w:r>
    </w:p>
    <w:p w14:paraId="79C23764" w14:textId="77777777" w:rsidR="00382007" w:rsidRPr="009F23E4" w:rsidRDefault="00382007" w:rsidP="00382007">
      <w:pPr>
        <w:numPr>
          <w:ilvl w:val="0"/>
          <w:numId w:val="4"/>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t>Comparison/redline: Current Articles vs. proposed Restated Articles, highlighting substantive changes.</w:t>
      </w:r>
    </w:p>
    <w:p w14:paraId="2AD3F595" w14:textId="77777777" w:rsidR="00382007" w:rsidRPr="009F23E4" w:rsidRDefault="00382007" w:rsidP="00382007">
      <w:pPr>
        <w:numPr>
          <w:ilvl w:val="0"/>
          <w:numId w:val="4"/>
        </w:numPr>
        <w:spacing w:after="0" w:line="240" w:lineRule="auto"/>
        <w:rPr>
          <w:rFonts w:ascii="Aptos" w:eastAsia="Times New Roman" w:hAnsi="Aptos" w:cs="Times New Roman"/>
          <w:color w:val="000000"/>
          <w:kern w:val="0"/>
          <w14:ligatures w14:val="none"/>
        </w:rPr>
      </w:pPr>
      <w:r w:rsidRPr="009F23E4">
        <w:rPr>
          <w:rFonts w:ascii="Aptos" w:eastAsia="Times New Roman" w:hAnsi="Aptos" w:cs="Times New Roman"/>
          <w:color w:val="000000"/>
          <w:kern w:val="0"/>
          <w14:ligatures w14:val="none"/>
        </w:rPr>
        <w:lastRenderedPageBreak/>
        <w:t>Voting document: Exact resolution, who is eligible to vote, notice requirements, quorum, required approval threshold, and how the result will be recorded. Those procedural requirements should be verified against the church's bylaws and its state's nonprofit corporation statute.</w:t>
      </w:r>
    </w:p>
    <w:p w14:paraId="20813185"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 </w:t>
      </w:r>
    </w:p>
    <w:p w14:paraId="17556D5F" w14:textId="77777777" w:rsidR="00382007" w:rsidRPr="009F23E4" w:rsidRDefault="00382007" w:rsidP="00382007">
      <w:pPr>
        <w:spacing w:after="0" w:line="240" w:lineRule="auto"/>
        <w:rPr>
          <w:rFonts w:ascii="Aptos" w:eastAsia="Times New Roman" w:hAnsi="Aptos" w:cs="Times New Roman"/>
          <w:color w:val="212121"/>
          <w:kern w:val="0"/>
          <w14:ligatures w14:val="none"/>
        </w:rPr>
      </w:pPr>
      <w:r w:rsidRPr="009F23E4">
        <w:rPr>
          <w:rFonts w:ascii="Aptos" w:eastAsia="Times New Roman" w:hAnsi="Aptos" w:cs="Times New Roman"/>
          <w:color w:val="000000"/>
          <w:kern w:val="0"/>
          <w14:ligatures w14:val="none"/>
        </w:rPr>
        <w:t> </w:t>
      </w:r>
    </w:p>
    <w:sectPr w:rsidR="00382007" w:rsidRPr="009F23E4" w:rsidSect="003820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9D0A4C"/>
    <w:multiLevelType w:val="multilevel"/>
    <w:tmpl w:val="5F72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E4F2A"/>
    <w:multiLevelType w:val="multilevel"/>
    <w:tmpl w:val="7CA8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23687"/>
    <w:multiLevelType w:val="multilevel"/>
    <w:tmpl w:val="462C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25767E"/>
    <w:multiLevelType w:val="multilevel"/>
    <w:tmpl w:val="24CE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D4381"/>
    <w:multiLevelType w:val="multilevel"/>
    <w:tmpl w:val="C914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9407B9"/>
    <w:multiLevelType w:val="multilevel"/>
    <w:tmpl w:val="FDAC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0D3A3B"/>
    <w:multiLevelType w:val="multilevel"/>
    <w:tmpl w:val="6822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0242C8"/>
    <w:multiLevelType w:val="multilevel"/>
    <w:tmpl w:val="4386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D975A8"/>
    <w:multiLevelType w:val="multilevel"/>
    <w:tmpl w:val="19D20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26452B"/>
    <w:multiLevelType w:val="multilevel"/>
    <w:tmpl w:val="840AF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F85357"/>
    <w:multiLevelType w:val="multilevel"/>
    <w:tmpl w:val="CC9C0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7708C0"/>
    <w:multiLevelType w:val="multilevel"/>
    <w:tmpl w:val="99A6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201A2E"/>
    <w:multiLevelType w:val="multilevel"/>
    <w:tmpl w:val="1AF8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2146C2"/>
    <w:multiLevelType w:val="multilevel"/>
    <w:tmpl w:val="959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543943"/>
    <w:multiLevelType w:val="multilevel"/>
    <w:tmpl w:val="E7B0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D74D81"/>
    <w:multiLevelType w:val="multilevel"/>
    <w:tmpl w:val="16A0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821189">
    <w:abstractNumId w:val="10"/>
  </w:num>
  <w:num w:numId="2" w16cid:durableId="1970891821">
    <w:abstractNumId w:val="11"/>
  </w:num>
  <w:num w:numId="3" w16cid:durableId="340399268">
    <w:abstractNumId w:val="6"/>
  </w:num>
  <w:num w:numId="4" w16cid:durableId="1358462355">
    <w:abstractNumId w:val="3"/>
  </w:num>
  <w:num w:numId="5" w16cid:durableId="352650184">
    <w:abstractNumId w:val="7"/>
  </w:num>
  <w:num w:numId="6" w16cid:durableId="1056322543">
    <w:abstractNumId w:val="9"/>
  </w:num>
  <w:num w:numId="7" w16cid:durableId="2071924656">
    <w:abstractNumId w:val="1"/>
  </w:num>
  <w:num w:numId="8" w16cid:durableId="2134060093">
    <w:abstractNumId w:val="13"/>
  </w:num>
  <w:num w:numId="9" w16cid:durableId="1116755574">
    <w:abstractNumId w:val="12"/>
  </w:num>
  <w:num w:numId="10" w16cid:durableId="742261463">
    <w:abstractNumId w:val="8"/>
  </w:num>
  <w:num w:numId="11" w16cid:durableId="467671714">
    <w:abstractNumId w:val="0"/>
  </w:num>
  <w:num w:numId="12" w16cid:durableId="302856105">
    <w:abstractNumId w:val="15"/>
  </w:num>
  <w:num w:numId="13" w16cid:durableId="1767578014">
    <w:abstractNumId w:val="2"/>
  </w:num>
  <w:num w:numId="14" w16cid:durableId="342365229">
    <w:abstractNumId w:val="14"/>
  </w:num>
  <w:num w:numId="15" w16cid:durableId="1451126762">
    <w:abstractNumId w:val="5"/>
  </w:num>
  <w:num w:numId="16" w16cid:durableId="214626903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007"/>
    <w:rsid w:val="001C2C62"/>
    <w:rsid w:val="002B44ED"/>
    <w:rsid w:val="00382007"/>
    <w:rsid w:val="004038E6"/>
    <w:rsid w:val="007416DD"/>
    <w:rsid w:val="00B016E8"/>
    <w:rsid w:val="00C418CB"/>
    <w:rsid w:val="00CB398E"/>
    <w:rsid w:val="00CD3EA1"/>
    <w:rsid w:val="00D40C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2B8F63F"/>
  <w15:chartTrackingRefBased/>
  <w15:docId w15:val="{A972884D-CFDB-874F-82E2-54B2F2F8E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007"/>
  </w:style>
  <w:style w:type="paragraph" w:styleId="Heading1">
    <w:name w:val="heading 1"/>
    <w:basedOn w:val="Normal"/>
    <w:next w:val="Normal"/>
    <w:link w:val="Heading1Char"/>
    <w:uiPriority w:val="9"/>
    <w:qFormat/>
    <w:rsid w:val="00382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2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20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20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20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20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0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0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0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0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20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20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20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20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2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007"/>
    <w:rPr>
      <w:rFonts w:eastAsiaTheme="majorEastAsia" w:cstheme="majorBidi"/>
      <w:color w:val="272727" w:themeColor="text1" w:themeTint="D8"/>
    </w:rPr>
  </w:style>
  <w:style w:type="paragraph" w:styleId="Title">
    <w:name w:val="Title"/>
    <w:basedOn w:val="Normal"/>
    <w:next w:val="Normal"/>
    <w:link w:val="TitleChar"/>
    <w:uiPriority w:val="10"/>
    <w:qFormat/>
    <w:rsid w:val="00382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007"/>
    <w:pPr>
      <w:spacing w:before="160"/>
      <w:jc w:val="center"/>
    </w:pPr>
    <w:rPr>
      <w:i/>
      <w:iCs/>
      <w:color w:val="404040" w:themeColor="text1" w:themeTint="BF"/>
    </w:rPr>
  </w:style>
  <w:style w:type="character" w:customStyle="1" w:styleId="QuoteChar">
    <w:name w:val="Quote Char"/>
    <w:basedOn w:val="DefaultParagraphFont"/>
    <w:link w:val="Quote"/>
    <w:uiPriority w:val="29"/>
    <w:rsid w:val="00382007"/>
    <w:rPr>
      <w:i/>
      <w:iCs/>
      <w:color w:val="404040" w:themeColor="text1" w:themeTint="BF"/>
    </w:rPr>
  </w:style>
  <w:style w:type="paragraph" w:styleId="ListParagraph">
    <w:name w:val="List Paragraph"/>
    <w:basedOn w:val="Normal"/>
    <w:uiPriority w:val="34"/>
    <w:qFormat/>
    <w:rsid w:val="00382007"/>
    <w:pPr>
      <w:ind w:left="720"/>
      <w:contextualSpacing/>
    </w:pPr>
  </w:style>
  <w:style w:type="character" w:styleId="IntenseEmphasis">
    <w:name w:val="Intense Emphasis"/>
    <w:basedOn w:val="DefaultParagraphFont"/>
    <w:uiPriority w:val="21"/>
    <w:qFormat/>
    <w:rsid w:val="00382007"/>
    <w:rPr>
      <w:i/>
      <w:iCs/>
      <w:color w:val="0F4761" w:themeColor="accent1" w:themeShade="BF"/>
    </w:rPr>
  </w:style>
  <w:style w:type="paragraph" w:styleId="IntenseQuote">
    <w:name w:val="Intense Quote"/>
    <w:basedOn w:val="Normal"/>
    <w:next w:val="Normal"/>
    <w:link w:val="IntenseQuoteChar"/>
    <w:uiPriority w:val="30"/>
    <w:qFormat/>
    <w:rsid w:val="00382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2007"/>
    <w:rPr>
      <w:i/>
      <w:iCs/>
      <w:color w:val="0F4761" w:themeColor="accent1" w:themeShade="BF"/>
    </w:rPr>
  </w:style>
  <w:style w:type="character" w:styleId="IntenseReference">
    <w:name w:val="Intense Reference"/>
    <w:basedOn w:val="DefaultParagraphFont"/>
    <w:uiPriority w:val="32"/>
    <w:qFormat/>
    <w:rsid w:val="003820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1848</Words>
  <Characters>10540</Characters>
  <Application>Microsoft Office Word</Application>
  <DocSecurity>0</DocSecurity>
  <Lines>87</Lines>
  <Paragraphs>24</Paragraphs>
  <ScaleCrop>false</ScaleCrop>
  <Company/>
  <LinksUpToDate>false</LinksUpToDate>
  <CharactersWithSpaces>12364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Douglas</dc:creator>
  <cp:keywords/>
  <dc:description/>
  <cp:lastModifiedBy>Rob Douglas</cp:lastModifiedBy>
  <cp:revision>2</cp:revision>
  <dcterms:created xsi:type="dcterms:W3CDTF">2026-11-03T21:44:00Z</dcterms:created>
  <dcterms:modified xsi:type="dcterms:W3CDTF">2026-11-03T21:48:00Z</dcterms:modified>
</cp:coreProperties>
</file>